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E3A91" w14:textId="77777777" w:rsidR="003957D7" w:rsidRPr="00697EDE" w:rsidRDefault="003957D7" w:rsidP="00D21E7E">
      <w:pPr>
        <w:spacing w:after="0" w:line="240" w:lineRule="auto"/>
        <w:jc w:val="both"/>
        <w:rPr>
          <w:rFonts w:ascii="Arial" w:hAnsi="Arial" w:cs="Arial"/>
          <w:b/>
          <w:bCs/>
          <w:sz w:val="28"/>
          <w:szCs w:val="28"/>
        </w:rPr>
      </w:pPr>
    </w:p>
    <w:p w14:paraId="2DD75E55" w14:textId="272B0792" w:rsidR="00D21E7E" w:rsidRPr="00697EDE" w:rsidRDefault="00D21E7E" w:rsidP="00A47A9D">
      <w:pPr>
        <w:spacing w:after="0" w:line="240" w:lineRule="auto"/>
        <w:jc w:val="center"/>
        <w:rPr>
          <w:rFonts w:ascii="Arial" w:hAnsi="Arial" w:cs="Arial"/>
          <w:b/>
          <w:bCs/>
          <w:sz w:val="28"/>
          <w:szCs w:val="28"/>
        </w:rPr>
      </w:pPr>
      <w:r w:rsidRPr="00697EDE">
        <w:rPr>
          <w:rFonts w:ascii="Arial" w:hAnsi="Arial" w:cs="Arial"/>
          <w:b/>
          <w:bCs/>
          <w:sz w:val="28"/>
          <w:szCs w:val="28"/>
        </w:rPr>
        <w:t>MAGP supera los 10.000 beneficiarios en Morona Santiago durante 2025 con acciones integrales para el desarrollo del sector agropecuario</w:t>
      </w:r>
    </w:p>
    <w:p w14:paraId="31C35808" w14:textId="77777777" w:rsidR="00D21E7E" w:rsidRDefault="00D21E7E" w:rsidP="00D21E7E">
      <w:pPr>
        <w:spacing w:after="0" w:line="240" w:lineRule="auto"/>
        <w:jc w:val="both"/>
        <w:rPr>
          <w:rFonts w:ascii="Arial" w:hAnsi="Arial" w:cs="Arial"/>
          <w:sz w:val="24"/>
          <w:szCs w:val="24"/>
        </w:rPr>
      </w:pPr>
    </w:p>
    <w:p w14:paraId="6989E888" w14:textId="77777777" w:rsidR="00A47A9D" w:rsidRDefault="00A47A9D" w:rsidP="00D21E7E">
      <w:pPr>
        <w:spacing w:after="0" w:line="240" w:lineRule="auto"/>
        <w:jc w:val="both"/>
        <w:rPr>
          <w:rFonts w:ascii="Arial" w:hAnsi="Arial" w:cs="Arial"/>
          <w:sz w:val="24"/>
          <w:szCs w:val="24"/>
        </w:rPr>
      </w:pPr>
    </w:p>
    <w:p w14:paraId="3A4AB946" w14:textId="196DFD1E" w:rsidR="00D21E7E" w:rsidRPr="00D21E7E" w:rsidRDefault="00A47A9D" w:rsidP="00D21E7E">
      <w:pPr>
        <w:spacing w:after="0" w:line="240" w:lineRule="auto"/>
        <w:jc w:val="both"/>
        <w:rPr>
          <w:rFonts w:ascii="Arial" w:hAnsi="Arial" w:cs="Arial"/>
          <w:sz w:val="24"/>
          <w:szCs w:val="24"/>
        </w:rPr>
      </w:pPr>
      <w:r>
        <w:rPr>
          <w:rFonts w:ascii="Arial" w:hAnsi="Arial" w:cs="Arial"/>
          <w:sz w:val="24"/>
          <w:szCs w:val="24"/>
        </w:rPr>
        <w:t>M</w:t>
      </w:r>
      <w:r w:rsidR="00D21E7E" w:rsidRPr="00D21E7E">
        <w:rPr>
          <w:rFonts w:ascii="Arial" w:hAnsi="Arial" w:cs="Arial"/>
          <w:sz w:val="24"/>
          <w:szCs w:val="24"/>
        </w:rPr>
        <w:t>ediante la implementación de acciones orientadas a la asistencia técnica, capacitación, aseguramiento agropecuario, acceso a financiamiento, comercialización y fortalecimiento organizativo</w:t>
      </w:r>
      <w:r>
        <w:rPr>
          <w:rFonts w:ascii="Arial" w:hAnsi="Arial" w:cs="Arial"/>
          <w:sz w:val="24"/>
          <w:szCs w:val="24"/>
        </w:rPr>
        <w:t xml:space="preserve">, </w:t>
      </w:r>
      <w:r w:rsidRPr="00D21E7E">
        <w:rPr>
          <w:rFonts w:ascii="Arial" w:hAnsi="Arial" w:cs="Arial"/>
          <w:sz w:val="24"/>
          <w:szCs w:val="24"/>
        </w:rPr>
        <w:t>la Dirección Distrital 14D01 Morona del Ministerio de Agricultur</w:t>
      </w:r>
      <w:r>
        <w:rPr>
          <w:rFonts w:ascii="Arial" w:hAnsi="Arial" w:cs="Arial"/>
          <w:sz w:val="24"/>
          <w:szCs w:val="24"/>
        </w:rPr>
        <w:t xml:space="preserve">a, </w:t>
      </w:r>
      <w:r w:rsidRPr="00D21E7E">
        <w:rPr>
          <w:rFonts w:ascii="Arial" w:hAnsi="Arial" w:cs="Arial"/>
          <w:sz w:val="24"/>
          <w:szCs w:val="24"/>
        </w:rPr>
        <w:t>Ganadería</w:t>
      </w:r>
      <w:r>
        <w:rPr>
          <w:rFonts w:ascii="Arial" w:hAnsi="Arial" w:cs="Arial"/>
          <w:sz w:val="24"/>
          <w:szCs w:val="24"/>
        </w:rPr>
        <w:t xml:space="preserve"> y Pesca</w:t>
      </w:r>
      <w:r w:rsidRPr="00D21E7E">
        <w:rPr>
          <w:rFonts w:ascii="Arial" w:hAnsi="Arial" w:cs="Arial"/>
          <w:sz w:val="24"/>
          <w:szCs w:val="24"/>
        </w:rPr>
        <w:t xml:space="preserve"> (MAGP</w:t>
      </w:r>
      <w:r>
        <w:rPr>
          <w:rFonts w:ascii="Arial" w:hAnsi="Arial" w:cs="Arial"/>
          <w:sz w:val="24"/>
          <w:szCs w:val="24"/>
        </w:rPr>
        <w:t>) atendió a más de 10.000 beneficiarios durante 2025.</w:t>
      </w:r>
    </w:p>
    <w:p w14:paraId="5C53BF17" w14:textId="77777777" w:rsidR="00D21E7E" w:rsidRDefault="00D21E7E" w:rsidP="00D21E7E">
      <w:pPr>
        <w:spacing w:after="0" w:line="240" w:lineRule="auto"/>
        <w:jc w:val="both"/>
        <w:rPr>
          <w:rFonts w:ascii="Arial" w:hAnsi="Arial" w:cs="Arial"/>
          <w:sz w:val="24"/>
          <w:szCs w:val="24"/>
        </w:rPr>
      </w:pPr>
    </w:p>
    <w:p w14:paraId="5FB27677" w14:textId="5A17C0FE" w:rsidR="00D21E7E" w:rsidRPr="00D21E7E" w:rsidRDefault="00D21E7E" w:rsidP="00D21E7E">
      <w:pPr>
        <w:spacing w:after="0" w:line="240" w:lineRule="auto"/>
        <w:jc w:val="both"/>
        <w:rPr>
          <w:rFonts w:ascii="Arial" w:hAnsi="Arial" w:cs="Arial"/>
          <w:sz w:val="24"/>
          <w:szCs w:val="24"/>
        </w:rPr>
      </w:pPr>
      <w:r w:rsidRPr="00D21E7E">
        <w:rPr>
          <w:rFonts w:ascii="Arial" w:hAnsi="Arial" w:cs="Arial"/>
          <w:sz w:val="24"/>
          <w:szCs w:val="24"/>
        </w:rPr>
        <w:t>En el marco del proceso de Rendición de Cuentas 2025, la institución presentó los principales resultados de su gestión, evidenciando el impacto de las intervenciones ejecutadas en el fortalecimiento del sector agropecuario en la provincia de Morona Santiago.</w:t>
      </w:r>
    </w:p>
    <w:p w14:paraId="7BFDFE75" w14:textId="77777777" w:rsidR="00D21E7E" w:rsidRDefault="00D21E7E" w:rsidP="00D21E7E">
      <w:pPr>
        <w:spacing w:after="0" w:line="240" w:lineRule="auto"/>
        <w:jc w:val="both"/>
        <w:rPr>
          <w:rFonts w:ascii="Arial" w:hAnsi="Arial" w:cs="Arial"/>
          <w:sz w:val="24"/>
          <w:szCs w:val="24"/>
        </w:rPr>
      </w:pPr>
    </w:p>
    <w:p w14:paraId="5C778A5F" w14:textId="0604AA18" w:rsidR="00D21E7E" w:rsidRPr="00D21E7E" w:rsidRDefault="00D21E7E" w:rsidP="00D21E7E">
      <w:pPr>
        <w:spacing w:after="0" w:line="240" w:lineRule="auto"/>
        <w:jc w:val="both"/>
        <w:rPr>
          <w:rFonts w:ascii="Arial" w:hAnsi="Arial" w:cs="Arial"/>
          <w:sz w:val="24"/>
          <w:szCs w:val="24"/>
        </w:rPr>
      </w:pPr>
      <w:r w:rsidRPr="00D21E7E">
        <w:rPr>
          <w:rFonts w:ascii="Arial" w:hAnsi="Arial" w:cs="Arial"/>
          <w:sz w:val="24"/>
          <w:szCs w:val="24"/>
        </w:rPr>
        <w:t>En el ámbito de regularización de tierras, se avanzó en la seguridad jurídica mediante procesos técnicos y administrativos que permitieron la adjudicación de 164 títulos de propiedad rural, contribuyendo a la estabilidad en la tenencia de la tierra y facilitando el acceso a servicios del Estado.</w:t>
      </w:r>
    </w:p>
    <w:p w14:paraId="36A57EF7" w14:textId="77777777" w:rsidR="00D21E7E" w:rsidRDefault="00D21E7E" w:rsidP="00D21E7E">
      <w:pPr>
        <w:spacing w:after="0" w:line="240" w:lineRule="auto"/>
        <w:jc w:val="both"/>
        <w:rPr>
          <w:rFonts w:ascii="Arial" w:hAnsi="Arial" w:cs="Arial"/>
          <w:sz w:val="24"/>
          <w:szCs w:val="24"/>
        </w:rPr>
      </w:pPr>
    </w:p>
    <w:p w14:paraId="710441DD" w14:textId="07B1A88F" w:rsidR="00D21E7E" w:rsidRPr="00D21E7E" w:rsidRDefault="00A47A9D" w:rsidP="00D21E7E">
      <w:pPr>
        <w:spacing w:after="0" w:line="240" w:lineRule="auto"/>
        <w:jc w:val="both"/>
        <w:rPr>
          <w:rFonts w:ascii="Arial" w:hAnsi="Arial" w:cs="Arial"/>
          <w:sz w:val="24"/>
          <w:szCs w:val="24"/>
        </w:rPr>
      </w:pPr>
      <w:r>
        <w:rPr>
          <w:rFonts w:ascii="Arial" w:hAnsi="Arial" w:cs="Arial"/>
          <w:sz w:val="24"/>
          <w:szCs w:val="24"/>
        </w:rPr>
        <w:t>El fortalecimiento de</w:t>
      </w:r>
      <w:r w:rsidR="00D21E7E" w:rsidRPr="00D21E7E">
        <w:rPr>
          <w:rFonts w:ascii="Arial" w:hAnsi="Arial" w:cs="Arial"/>
          <w:sz w:val="24"/>
          <w:szCs w:val="24"/>
        </w:rPr>
        <w:t xml:space="preserve"> la Agricultura Familiar Campesina (AFC) </w:t>
      </w:r>
      <w:r>
        <w:rPr>
          <w:rFonts w:ascii="Arial" w:hAnsi="Arial" w:cs="Arial"/>
          <w:sz w:val="24"/>
          <w:szCs w:val="24"/>
        </w:rPr>
        <w:t xml:space="preserve">se refleja en la incorporación de </w:t>
      </w:r>
      <w:r w:rsidR="00D21E7E" w:rsidRPr="00D21E7E">
        <w:rPr>
          <w:rFonts w:ascii="Arial" w:hAnsi="Arial" w:cs="Arial"/>
          <w:sz w:val="24"/>
          <w:szCs w:val="24"/>
        </w:rPr>
        <w:t xml:space="preserve">2.159 actores rurales al </w:t>
      </w:r>
      <w:r>
        <w:rPr>
          <w:rFonts w:ascii="Arial" w:hAnsi="Arial" w:cs="Arial"/>
          <w:sz w:val="24"/>
          <w:szCs w:val="24"/>
        </w:rPr>
        <w:t>R</w:t>
      </w:r>
      <w:r w:rsidR="00D21E7E" w:rsidRPr="00D21E7E">
        <w:rPr>
          <w:rFonts w:ascii="Arial" w:hAnsi="Arial" w:cs="Arial"/>
          <w:sz w:val="24"/>
          <w:szCs w:val="24"/>
        </w:rPr>
        <w:t>egistro AFC</w:t>
      </w:r>
      <w:r>
        <w:rPr>
          <w:rFonts w:ascii="Arial" w:hAnsi="Arial" w:cs="Arial"/>
          <w:sz w:val="24"/>
          <w:szCs w:val="24"/>
        </w:rPr>
        <w:t>;</w:t>
      </w:r>
      <w:r w:rsidR="00D21E7E" w:rsidRPr="00D21E7E">
        <w:rPr>
          <w:rFonts w:ascii="Arial" w:hAnsi="Arial" w:cs="Arial"/>
          <w:sz w:val="24"/>
          <w:szCs w:val="24"/>
        </w:rPr>
        <w:t xml:space="preserve"> la capacitación de 260 personas en producción sustentable y prácticas ancestrales, así como la participación de 118 mujeres rurales como promotoras de sistemas sostenibles. Además, se consolidaron 274 actores vinculados a </w:t>
      </w:r>
      <w:r>
        <w:rPr>
          <w:rFonts w:ascii="Arial" w:hAnsi="Arial" w:cs="Arial"/>
          <w:sz w:val="24"/>
          <w:szCs w:val="24"/>
        </w:rPr>
        <w:t>C</w:t>
      </w:r>
      <w:r w:rsidR="00D21E7E" w:rsidRPr="00D21E7E">
        <w:rPr>
          <w:rFonts w:ascii="Arial" w:hAnsi="Arial" w:cs="Arial"/>
          <w:sz w:val="24"/>
          <w:szCs w:val="24"/>
        </w:rPr>
        <w:t xml:space="preserve">ircuitos </w:t>
      </w:r>
      <w:r>
        <w:rPr>
          <w:rFonts w:ascii="Arial" w:hAnsi="Arial" w:cs="Arial"/>
          <w:sz w:val="24"/>
          <w:szCs w:val="24"/>
        </w:rPr>
        <w:t>A</w:t>
      </w:r>
      <w:r w:rsidR="00D21E7E" w:rsidRPr="00D21E7E">
        <w:rPr>
          <w:rFonts w:ascii="Arial" w:hAnsi="Arial" w:cs="Arial"/>
          <w:sz w:val="24"/>
          <w:szCs w:val="24"/>
        </w:rPr>
        <w:t xml:space="preserve">lternativos de </w:t>
      </w:r>
      <w:r>
        <w:rPr>
          <w:rFonts w:ascii="Arial" w:hAnsi="Arial" w:cs="Arial"/>
          <w:sz w:val="24"/>
          <w:szCs w:val="24"/>
        </w:rPr>
        <w:t>C</w:t>
      </w:r>
      <w:r w:rsidR="00D21E7E" w:rsidRPr="00D21E7E">
        <w:rPr>
          <w:rFonts w:ascii="Arial" w:hAnsi="Arial" w:cs="Arial"/>
          <w:sz w:val="24"/>
          <w:szCs w:val="24"/>
        </w:rPr>
        <w:t>omercialización, fortaleciendo el acceso a mercados.</w:t>
      </w:r>
    </w:p>
    <w:p w14:paraId="67615AA3" w14:textId="77777777" w:rsidR="00D21E7E" w:rsidRDefault="00D21E7E" w:rsidP="00D21E7E">
      <w:pPr>
        <w:spacing w:after="0" w:line="240" w:lineRule="auto"/>
        <w:jc w:val="both"/>
        <w:rPr>
          <w:rFonts w:ascii="Arial" w:hAnsi="Arial" w:cs="Arial"/>
          <w:sz w:val="24"/>
          <w:szCs w:val="24"/>
        </w:rPr>
      </w:pPr>
    </w:p>
    <w:p w14:paraId="4B5FB5F1" w14:textId="4ABC5660" w:rsidR="00D21E7E" w:rsidRPr="00D21E7E" w:rsidRDefault="00D21E7E" w:rsidP="00D21E7E">
      <w:pPr>
        <w:spacing w:after="0" w:line="240" w:lineRule="auto"/>
        <w:jc w:val="both"/>
        <w:rPr>
          <w:rFonts w:ascii="Arial" w:hAnsi="Arial" w:cs="Arial"/>
          <w:sz w:val="24"/>
          <w:szCs w:val="24"/>
        </w:rPr>
      </w:pPr>
      <w:r w:rsidRPr="00D21E7E">
        <w:rPr>
          <w:rFonts w:ascii="Arial" w:hAnsi="Arial" w:cs="Arial"/>
          <w:sz w:val="24"/>
          <w:szCs w:val="24"/>
        </w:rPr>
        <w:t xml:space="preserve">En el componente productivo, se registraron más de 6.800 asistencias técnicas y 117 espacios formativos, permitiendo atender a 1.619 personas en temas de nutrición vegetal, </w:t>
      </w:r>
      <w:proofErr w:type="spellStart"/>
      <w:r w:rsidRPr="00D21E7E">
        <w:rPr>
          <w:rFonts w:ascii="Arial" w:hAnsi="Arial" w:cs="Arial"/>
          <w:sz w:val="24"/>
          <w:szCs w:val="24"/>
        </w:rPr>
        <w:t>fitosanidad</w:t>
      </w:r>
      <w:proofErr w:type="spellEnd"/>
      <w:r w:rsidRPr="00D21E7E">
        <w:rPr>
          <w:rFonts w:ascii="Arial" w:hAnsi="Arial" w:cs="Arial"/>
          <w:sz w:val="24"/>
          <w:szCs w:val="24"/>
        </w:rPr>
        <w:t xml:space="preserve">, manejo </w:t>
      </w:r>
      <w:proofErr w:type="spellStart"/>
      <w:r w:rsidRPr="00D21E7E">
        <w:rPr>
          <w:rFonts w:ascii="Arial" w:hAnsi="Arial" w:cs="Arial"/>
          <w:sz w:val="24"/>
          <w:szCs w:val="24"/>
        </w:rPr>
        <w:t>postcosecha</w:t>
      </w:r>
      <w:proofErr w:type="spellEnd"/>
      <w:r w:rsidRPr="00D21E7E">
        <w:rPr>
          <w:rFonts w:ascii="Arial" w:hAnsi="Arial" w:cs="Arial"/>
          <w:sz w:val="24"/>
          <w:szCs w:val="24"/>
        </w:rPr>
        <w:t xml:space="preserve"> y generación de valor agregado. Estas acciones se complementaron con la dotación de </w:t>
      </w:r>
      <w:r w:rsidR="00A47A9D">
        <w:rPr>
          <w:rFonts w:ascii="Arial" w:hAnsi="Arial" w:cs="Arial"/>
          <w:sz w:val="24"/>
          <w:szCs w:val="24"/>
        </w:rPr>
        <w:t xml:space="preserve">1.124 </w:t>
      </w:r>
      <w:r w:rsidRPr="00D21E7E">
        <w:rPr>
          <w:rFonts w:ascii="Arial" w:hAnsi="Arial" w:cs="Arial"/>
          <w:sz w:val="24"/>
          <w:szCs w:val="24"/>
        </w:rPr>
        <w:t xml:space="preserve">paquetes tecnológicos </w:t>
      </w:r>
      <w:r w:rsidR="00A47A9D">
        <w:rPr>
          <w:rFonts w:ascii="Arial" w:hAnsi="Arial" w:cs="Arial"/>
          <w:sz w:val="24"/>
          <w:szCs w:val="24"/>
        </w:rPr>
        <w:t xml:space="preserve">agrícolas </w:t>
      </w:r>
      <w:r w:rsidRPr="00D21E7E">
        <w:rPr>
          <w:rFonts w:ascii="Arial" w:hAnsi="Arial" w:cs="Arial"/>
          <w:sz w:val="24"/>
          <w:szCs w:val="24"/>
        </w:rPr>
        <w:t>e insumos estratégicos orientados a mejorar la productividad.</w:t>
      </w:r>
    </w:p>
    <w:p w14:paraId="13258427" w14:textId="77777777" w:rsidR="00D21E7E" w:rsidRDefault="00D21E7E" w:rsidP="00D21E7E">
      <w:pPr>
        <w:spacing w:after="0" w:line="240" w:lineRule="auto"/>
        <w:jc w:val="both"/>
        <w:rPr>
          <w:rFonts w:ascii="Arial" w:hAnsi="Arial" w:cs="Arial"/>
          <w:sz w:val="24"/>
          <w:szCs w:val="24"/>
        </w:rPr>
      </w:pPr>
    </w:p>
    <w:p w14:paraId="31D3C5BA" w14:textId="39AF3F8B" w:rsidR="00D21E7E" w:rsidRPr="00D21E7E" w:rsidRDefault="00D21E7E" w:rsidP="00D21E7E">
      <w:pPr>
        <w:spacing w:after="0" w:line="240" w:lineRule="auto"/>
        <w:jc w:val="both"/>
        <w:rPr>
          <w:rFonts w:ascii="Arial" w:hAnsi="Arial" w:cs="Arial"/>
          <w:sz w:val="24"/>
          <w:szCs w:val="24"/>
        </w:rPr>
      </w:pPr>
      <w:r w:rsidRPr="00D21E7E">
        <w:rPr>
          <w:rFonts w:ascii="Arial" w:hAnsi="Arial" w:cs="Arial"/>
          <w:sz w:val="24"/>
          <w:szCs w:val="24"/>
        </w:rPr>
        <w:t>En el ámbito pecuario, se brindaron más de 2.000 asistencias técnicas especializadas, que incluyeron atención veterinaria, implementación de planes sanitarios, inseminación artificial y manejo productivo. De manera complementaria, 295 actores del sector fortalecieron sus capacidades en producción pecuaria sostenible.</w:t>
      </w:r>
    </w:p>
    <w:p w14:paraId="6B47B9C9" w14:textId="77777777" w:rsidR="00D21E7E" w:rsidRDefault="00D21E7E" w:rsidP="00D21E7E">
      <w:pPr>
        <w:spacing w:after="0" w:line="240" w:lineRule="auto"/>
        <w:jc w:val="both"/>
        <w:rPr>
          <w:rFonts w:ascii="Arial" w:hAnsi="Arial" w:cs="Arial"/>
          <w:sz w:val="24"/>
          <w:szCs w:val="24"/>
        </w:rPr>
      </w:pPr>
    </w:p>
    <w:p w14:paraId="24554EFB" w14:textId="30E0A504" w:rsidR="00D21E7E" w:rsidRPr="00D21E7E" w:rsidRDefault="00D21E7E" w:rsidP="00D21E7E">
      <w:pPr>
        <w:spacing w:after="0" w:line="240" w:lineRule="auto"/>
        <w:jc w:val="both"/>
        <w:rPr>
          <w:rFonts w:ascii="Arial" w:hAnsi="Arial" w:cs="Arial"/>
          <w:sz w:val="24"/>
          <w:szCs w:val="24"/>
        </w:rPr>
      </w:pPr>
      <w:r w:rsidRPr="00290905">
        <w:rPr>
          <w:rFonts w:ascii="Arial" w:hAnsi="Arial" w:cs="Arial"/>
          <w:sz w:val="24"/>
          <w:szCs w:val="24"/>
        </w:rPr>
        <w:t xml:space="preserve">En materia de aseguramiento agropecuario, 1.220 agricultores participaron en procesos de capacitación sobre seguros, </w:t>
      </w:r>
      <w:r w:rsidR="00290905" w:rsidRPr="00290905">
        <w:rPr>
          <w:rFonts w:ascii="Arial" w:hAnsi="Arial" w:cs="Arial"/>
          <w:sz w:val="24"/>
          <w:szCs w:val="24"/>
        </w:rPr>
        <w:t>17 seguros agrícolas plátano y caña productores,</w:t>
      </w:r>
      <w:r w:rsidR="00E15A81" w:rsidRPr="00290905">
        <w:rPr>
          <w:rFonts w:ascii="Arial" w:hAnsi="Arial" w:cs="Arial"/>
          <w:sz w:val="24"/>
          <w:szCs w:val="24"/>
        </w:rPr>
        <w:t xml:space="preserve"> aseguraron </w:t>
      </w:r>
      <w:r w:rsidRPr="00290905">
        <w:rPr>
          <w:rFonts w:ascii="Arial" w:hAnsi="Arial" w:cs="Arial"/>
          <w:sz w:val="24"/>
          <w:szCs w:val="24"/>
        </w:rPr>
        <w:t>1.124 hectáreas, lo que contribuye a reducir riesgos frente a eventos climáticos y factores biológicos.</w:t>
      </w:r>
    </w:p>
    <w:p w14:paraId="2410AF79" w14:textId="77777777" w:rsidR="00D21E7E" w:rsidRDefault="00D21E7E" w:rsidP="00D21E7E">
      <w:pPr>
        <w:spacing w:after="0" w:line="240" w:lineRule="auto"/>
        <w:jc w:val="both"/>
        <w:rPr>
          <w:rFonts w:ascii="Arial" w:hAnsi="Arial" w:cs="Arial"/>
          <w:sz w:val="24"/>
          <w:szCs w:val="24"/>
        </w:rPr>
      </w:pPr>
    </w:p>
    <w:p w14:paraId="77C3C7ED" w14:textId="06F29A28" w:rsidR="00D21E7E" w:rsidRPr="00D21E7E" w:rsidRDefault="00D21E7E" w:rsidP="00D21E7E">
      <w:pPr>
        <w:spacing w:after="0" w:line="240" w:lineRule="auto"/>
        <w:jc w:val="both"/>
        <w:rPr>
          <w:rFonts w:ascii="Arial" w:hAnsi="Arial" w:cs="Arial"/>
          <w:sz w:val="24"/>
          <w:szCs w:val="24"/>
        </w:rPr>
      </w:pPr>
      <w:r w:rsidRPr="00D21E7E">
        <w:rPr>
          <w:rFonts w:ascii="Arial" w:hAnsi="Arial" w:cs="Arial"/>
          <w:sz w:val="24"/>
          <w:szCs w:val="24"/>
        </w:rPr>
        <w:t>El acceso a financiamiento se consolidó mediante la gestión de 206 operaciones crediticias, que representan un monto superior a 2,6 millones de dólares, dinamizando la inversión en actividades productivas rurales.</w:t>
      </w:r>
    </w:p>
    <w:p w14:paraId="5A99D9AB" w14:textId="77777777" w:rsidR="003957D7" w:rsidRDefault="003957D7" w:rsidP="00D21E7E">
      <w:pPr>
        <w:spacing w:after="0" w:line="240" w:lineRule="auto"/>
        <w:jc w:val="both"/>
        <w:rPr>
          <w:rFonts w:ascii="Arial" w:hAnsi="Arial" w:cs="Arial"/>
          <w:sz w:val="24"/>
          <w:szCs w:val="24"/>
        </w:rPr>
      </w:pPr>
    </w:p>
    <w:p w14:paraId="2CD9B9A6" w14:textId="4B3C1260" w:rsidR="00D21E7E" w:rsidRPr="00D21E7E" w:rsidRDefault="00D21E7E" w:rsidP="00D21E7E">
      <w:pPr>
        <w:spacing w:after="0" w:line="240" w:lineRule="auto"/>
        <w:jc w:val="both"/>
        <w:rPr>
          <w:rFonts w:ascii="Arial" w:hAnsi="Arial" w:cs="Arial"/>
          <w:sz w:val="24"/>
          <w:szCs w:val="24"/>
        </w:rPr>
      </w:pPr>
      <w:r w:rsidRPr="00D21E7E">
        <w:rPr>
          <w:rFonts w:ascii="Arial" w:hAnsi="Arial" w:cs="Arial"/>
          <w:sz w:val="24"/>
          <w:szCs w:val="24"/>
        </w:rPr>
        <w:t>En el eje de comercialización, se concretaron 37 enlaces comerciales, generando un volumen de negocio que supera los 473 mil dólares, fortaleciendo la articulación con mercados y mejorando las condiciones de venta.</w:t>
      </w:r>
    </w:p>
    <w:p w14:paraId="0D22B125" w14:textId="77777777" w:rsidR="00D21E7E" w:rsidRDefault="00D21E7E" w:rsidP="00D21E7E">
      <w:pPr>
        <w:spacing w:after="0" w:line="240" w:lineRule="auto"/>
        <w:jc w:val="both"/>
        <w:rPr>
          <w:rFonts w:ascii="Arial" w:hAnsi="Arial" w:cs="Arial"/>
          <w:sz w:val="24"/>
          <w:szCs w:val="24"/>
        </w:rPr>
      </w:pPr>
    </w:p>
    <w:p w14:paraId="37B3D42C" w14:textId="03203F02" w:rsidR="00D21E7E" w:rsidRDefault="00D21E7E" w:rsidP="00D21E7E">
      <w:pPr>
        <w:spacing w:after="0" w:line="240" w:lineRule="auto"/>
        <w:jc w:val="both"/>
        <w:rPr>
          <w:rFonts w:ascii="Arial" w:hAnsi="Arial" w:cs="Arial"/>
          <w:sz w:val="24"/>
          <w:szCs w:val="24"/>
        </w:rPr>
      </w:pPr>
      <w:r w:rsidRPr="00D21E7E">
        <w:rPr>
          <w:rFonts w:ascii="Arial" w:hAnsi="Arial" w:cs="Arial"/>
          <w:sz w:val="24"/>
          <w:szCs w:val="24"/>
        </w:rPr>
        <w:t xml:space="preserve">En cuanto a la atención ciudadana, se gestionaron 1.632 trámites a través de </w:t>
      </w:r>
      <w:r w:rsidR="00E15A81">
        <w:rPr>
          <w:rFonts w:ascii="Arial" w:hAnsi="Arial" w:cs="Arial"/>
          <w:sz w:val="24"/>
          <w:szCs w:val="24"/>
        </w:rPr>
        <w:t xml:space="preserve">la </w:t>
      </w:r>
      <w:r w:rsidRPr="00D21E7E">
        <w:rPr>
          <w:rFonts w:ascii="Arial" w:hAnsi="Arial" w:cs="Arial"/>
          <w:sz w:val="24"/>
          <w:szCs w:val="24"/>
        </w:rPr>
        <w:t>Ventanilla Única, garantizando orientación oportuna, acompañamiento técnico y eficiencia en los procesos administrativos.</w:t>
      </w:r>
    </w:p>
    <w:p w14:paraId="166F787C" w14:textId="77777777" w:rsidR="00D21E7E" w:rsidRPr="00D21E7E" w:rsidRDefault="00D21E7E" w:rsidP="00D21E7E">
      <w:pPr>
        <w:spacing w:after="0" w:line="240" w:lineRule="auto"/>
        <w:jc w:val="both"/>
        <w:rPr>
          <w:rFonts w:ascii="Arial" w:hAnsi="Arial" w:cs="Arial"/>
          <w:sz w:val="24"/>
          <w:szCs w:val="24"/>
        </w:rPr>
      </w:pPr>
    </w:p>
    <w:p w14:paraId="08DF5EAD" w14:textId="0C744EB2" w:rsidR="00D21E7E" w:rsidRDefault="00D21E7E" w:rsidP="00D21E7E">
      <w:pPr>
        <w:spacing w:after="0" w:line="240" w:lineRule="auto"/>
        <w:jc w:val="both"/>
        <w:rPr>
          <w:rFonts w:ascii="Arial" w:hAnsi="Arial" w:cs="Arial"/>
          <w:sz w:val="24"/>
          <w:szCs w:val="24"/>
        </w:rPr>
      </w:pPr>
      <w:r w:rsidRPr="00D21E7E">
        <w:rPr>
          <w:rFonts w:ascii="Arial" w:hAnsi="Arial" w:cs="Arial"/>
          <w:sz w:val="24"/>
          <w:szCs w:val="24"/>
        </w:rPr>
        <w:t>Estos resultados reflejan una intervención integral que articula productividad, sostenibilidad, inclusión y acceso a servicios, consolidando el desarrollo del sector agropecuario en la provincia.</w:t>
      </w:r>
    </w:p>
    <w:p w14:paraId="29378699" w14:textId="77777777" w:rsidR="00D21E7E" w:rsidRPr="00D21E7E" w:rsidRDefault="00D21E7E" w:rsidP="00D21E7E">
      <w:pPr>
        <w:spacing w:after="0" w:line="240" w:lineRule="auto"/>
        <w:jc w:val="both"/>
        <w:rPr>
          <w:rFonts w:ascii="Arial" w:hAnsi="Arial" w:cs="Arial"/>
          <w:sz w:val="24"/>
          <w:szCs w:val="24"/>
        </w:rPr>
      </w:pPr>
    </w:p>
    <w:p w14:paraId="7C3FB948" w14:textId="1C639212" w:rsidR="00D21E7E" w:rsidRDefault="00D21E7E" w:rsidP="00D21E7E">
      <w:pPr>
        <w:spacing w:after="0" w:line="240" w:lineRule="auto"/>
        <w:jc w:val="both"/>
        <w:rPr>
          <w:rFonts w:ascii="Arial" w:hAnsi="Arial" w:cs="Arial"/>
          <w:sz w:val="24"/>
          <w:szCs w:val="24"/>
        </w:rPr>
      </w:pPr>
      <w:r w:rsidRPr="00D21E7E">
        <w:rPr>
          <w:rFonts w:ascii="Arial" w:hAnsi="Arial" w:cs="Arial"/>
          <w:sz w:val="24"/>
          <w:szCs w:val="24"/>
        </w:rPr>
        <w:t>En el ámbito presupuestario, la Dirección Distrital registró una ejecución superior al 99%, con una inversión que bordea los 900 mil dólares, destinada a la implementación de programas, proyectos y servicios en beneficio del sector rural.</w:t>
      </w:r>
    </w:p>
    <w:p w14:paraId="32E76FF1" w14:textId="77777777" w:rsidR="00D21E7E" w:rsidRPr="00D21E7E" w:rsidRDefault="00D21E7E" w:rsidP="00D21E7E">
      <w:pPr>
        <w:spacing w:after="0" w:line="240" w:lineRule="auto"/>
        <w:jc w:val="both"/>
        <w:rPr>
          <w:rFonts w:ascii="Arial" w:hAnsi="Arial" w:cs="Arial"/>
          <w:sz w:val="24"/>
          <w:szCs w:val="24"/>
        </w:rPr>
      </w:pPr>
    </w:p>
    <w:p w14:paraId="4070A44B" w14:textId="308ABA98" w:rsidR="00E4019A" w:rsidRPr="00AA3D96" w:rsidRDefault="006D3488" w:rsidP="00D21E7E">
      <w:pPr>
        <w:spacing w:after="0" w:line="240" w:lineRule="auto"/>
        <w:jc w:val="both"/>
        <w:rPr>
          <w:rFonts w:ascii="Arial" w:hAnsi="Arial" w:cs="Arial"/>
          <w:sz w:val="24"/>
          <w:szCs w:val="24"/>
        </w:rPr>
      </w:pPr>
      <w:r>
        <w:rPr>
          <w:rFonts w:ascii="Arial" w:hAnsi="Arial" w:cs="Arial"/>
          <w:sz w:val="24"/>
          <w:szCs w:val="24"/>
        </w:rPr>
        <w:t>Marcelo Valverde Director Distrital r</w:t>
      </w:r>
      <w:r w:rsidR="00D21E7E" w:rsidRPr="00D21E7E">
        <w:rPr>
          <w:rFonts w:ascii="Arial" w:hAnsi="Arial" w:cs="Arial"/>
          <w:sz w:val="24"/>
          <w:szCs w:val="24"/>
        </w:rPr>
        <w:t>eafirma</w:t>
      </w:r>
      <w:r>
        <w:rPr>
          <w:rFonts w:ascii="Arial" w:hAnsi="Arial" w:cs="Arial"/>
          <w:sz w:val="24"/>
          <w:szCs w:val="24"/>
        </w:rPr>
        <w:t xml:space="preserve"> el compromiso de </w:t>
      </w:r>
      <w:r w:rsidR="00D21E7E" w:rsidRPr="00D21E7E">
        <w:rPr>
          <w:rFonts w:ascii="Arial" w:hAnsi="Arial" w:cs="Arial"/>
          <w:sz w:val="24"/>
          <w:szCs w:val="24"/>
        </w:rPr>
        <w:t>continuar fortaleciendo el desarrollo agropecuario mediante acciones que mejoren la calidad de vida de la población rural en Morona Santiago.</w:t>
      </w:r>
      <w:bookmarkStart w:id="0" w:name="_GoBack"/>
      <w:bookmarkEnd w:id="0"/>
    </w:p>
    <w:sectPr w:rsidR="00E4019A" w:rsidRPr="00AA3D96">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C84A8" w14:textId="77777777" w:rsidR="008D6FEF" w:rsidRDefault="008D6FEF" w:rsidP="003957D7">
      <w:pPr>
        <w:spacing w:after="0" w:line="240" w:lineRule="auto"/>
      </w:pPr>
      <w:r>
        <w:separator/>
      </w:r>
    </w:p>
  </w:endnote>
  <w:endnote w:type="continuationSeparator" w:id="0">
    <w:p w14:paraId="6889267A" w14:textId="77777777" w:rsidR="008D6FEF" w:rsidRDefault="008D6FEF" w:rsidP="00395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DA630" w14:textId="77777777" w:rsidR="008D6FEF" w:rsidRDefault="008D6FEF" w:rsidP="003957D7">
      <w:pPr>
        <w:spacing w:after="0" w:line="240" w:lineRule="auto"/>
      </w:pPr>
      <w:r>
        <w:separator/>
      </w:r>
    </w:p>
  </w:footnote>
  <w:footnote w:type="continuationSeparator" w:id="0">
    <w:p w14:paraId="7CA207CE" w14:textId="77777777" w:rsidR="008D6FEF" w:rsidRDefault="008D6FEF" w:rsidP="003957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590F4" w14:textId="2B104EFB" w:rsidR="003957D7" w:rsidRDefault="003957D7">
    <w:pPr>
      <w:pStyle w:val="Encabezado"/>
    </w:pPr>
    <w:r>
      <w:rPr>
        <w:noProof/>
        <w:color w:val="000000"/>
        <w:lang w:eastAsia="es-EC"/>
      </w:rPr>
      <w:drawing>
        <wp:anchor distT="0" distB="0" distL="0" distR="0" simplePos="0" relativeHeight="251659264" behindDoc="1" locked="0" layoutInCell="1" allowOverlap="1" wp14:anchorId="2BB2B2F3" wp14:editId="33D5ABC2">
          <wp:simplePos x="0" y="0"/>
          <wp:positionH relativeFrom="page">
            <wp:align>right</wp:align>
          </wp:positionH>
          <wp:positionV relativeFrom="paragraph">
            <wp:posOffset>-699135</wp:posOffset>
          </wp:positionV>
          <wp:extent cx="7555230" cy="1177328"/>
          <wp:effectExtent l="0" t="0" r="7620" b="3810"/>
          <wp:wrapNone/>
          <wp:docPr id="1" name="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230" cy="1177328"/>
                  </a:xfrm>
                  <a:prstGeom prst="rect">
                    <a:avLst/>
                  </a:prstGeom>
                </pic:spPr>
              </pic:pic>
            </a:graphicData>
          </a:graphic>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D96"/>
    <w:rsid w:val="001B2CF4"/>
    <w:rsid w:val="00233D96"/>
    <w:rsid w:val="00234D6C"/>
    <w:rsid w:val="00290905"/>
    <w:rsid w:val="003957D7"/>
    <w:rsid w:val="003F11CA"/>
    <w:rsid w:val="00486E08"/>
    <w:rsid w:val="00531186"/>
    <w:rsid w:val="0058128D"/>
    <w:rsid w:val="00697EDE"/>
    <w:rsid w:val="006D3488"/>
    <w:rsid w:val="008B1A46"/>
    <w:rsid w:val="008D02FC"/>
    <w:rsid w:val="008D6FEF"/>
    <w:rsid w:val="00A47A9D"/>
    <w:rsid w:val="00AA3D96"/>
    <w:rsid w:val="00AC5912"/>
    <w:rsid w:val="00B14842"/>
    <w:rsid w:val="00B6337F"/>
    <w:rsid w:val="00D21E7E"/>
    <w:rsid w:val="00E15A81"/>
    <w:rsid w:val="00E4019A"/>
  </w:rsids>
  <m:mathPr>
    <m:mathFont m:val="Cambria Math"/>
    <m:brkBin m:val="before"/>
    <m:brkBinSub m:val="--"/>
    <m:smallFrac m:val="0"/>
    <m:dispDef/>
    <m:lMargin m:val="0"/>
    <m:rMargin m:val="0"/>
    <m:defJc m:val="centerGroup"/>
    <m:wrapIndent m:val="1440"/>
    <m:intLim m:val="subSup"/>
    <m:naryLim m:val="undOvr"/>
  </m:mathPr>
  <w:themeFontLang w:val="es-EC"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A1A69"/>
  <w15:chartTrackingRefBased/>
  <w15:docId w15:val="{97AD92CD-3BEB-48CD-82EC-0DEEF2AF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957D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957D7"/>
  </w:style>
  <w:style w:type="paragraph" w:styleId="Piedepgina">
    <w:name w:val="footer"/>
    <w:basedOn w:val="Normal"/>
    <w:link w:val="PiedepginaCar"/>
    <w:uiPriority w:val="99"/>
    <w:unhideWhenUsed/>
    <w:rsid w:val="003957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95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575</Words>
  <Characters>3163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Geovanny Pazmiño Jaramillo</dc:creator>
  <cp:keywords/>
  <dc:description/>
  <cp:lastModifiedBy>Hp</cp:lastModifiedBy>
  <cp:revision>5</cp:revision>
  <dcterms:created xsi:type="dcterms:W3CDTF">2026-04-14T13:16:00Z</dcterms:created>
  <dcterms:modified xsi:type="dcterms:W3CDTF">2026-04-21T02:57:00Z</dcterms:modified>
</cp:coreProperties>
</file>